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5ff92e8044c0d" /><Relationship Type="http://schemas.openxmlformats.org/package/2006/relationships/metadata/core-properties" Target="/package/services/metadata/core-properties/5f717d17cfb6429c998a03b343ae406e.psmdcp" Id="R0df9b55f178f45d9" /></Relationships>
</file>

<file path=word/document.xml><?xml version="1.0" encoding="utf-8"?>
<w:document xmlns:w="http://schemas.openxmlformats.org/wordprocessingml/2006/main">
  <w:body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9866"/>
      </w:tblGrid>
      <w:tr>
        <w:trPr>
          <w:cantSplit/>
          <w:trHeight w:val="6900" w:hRule="atLeast"/>
        </w:trPr>
        <w:tc>
          <w:tcPr>
            <w:tcW w:w="9866" w:type="dxa"/>
            <w:shd w:val="clear" w:color="auto" w:fill="0B3B5E"/>
            <w:tcMar>
              <w:top w:w="900" w:type="dxa"/>
              <w:left w:w="700" w:type="dxa"/>
              <w:bottom w:w="700" w:type="dxa"/>
              <w:right w:w="700" w:type="dxa"/>
            </w:tcMar>
          </w:tcPr>
          <w:p>
            <w:pPr>
              <w:spacing w:before="0" w:after="150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20"/>
                <w:szCs w:val="20"/>
              </w:rPr>
              <w:t xml:space="preserve">IRANIAN SOCIETY OF INTERVENTIONAL CARDIOLOGY</w:t>
            </w:r>
          </w:p>
          <w:p>
            <w:pPr>
              <w:spacing w:before="0" w:after="300"/>
            </w:pPr>
            <w:r>
              <w:rPr>
                <w:rFonts w:ascii="Calibri" w:hAnsi="Calibri" w:eastAsia="Calibri" w:cs="Tahoma"/>
                <w:b/>
                <w:bCs/>
                <w:color w:val="FFFFFF"/>
                <w:spacing w:val="16"/>
                <w:sz w:val="22"/>
                <w:szCs w:val="22"/>
                <w:bdr w:val="single" w:color="9CC9EA" w:sz="8" w:space="1"/>
              </w:rPr>
              <w:t xml:space="preserve"> 3RD_INV </w:t>
            </w:r>
          </w:p>
          <w:p>
            <w:pPr>
              <w:spacing w:before="0" w:after="16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60"/>
                <w:szCs w:val="60"/>
              </w:rPr>
              <w:t xml:space="preserve">3rd Iranian Congress Of Interventional Cardiology</w:t>
            </w:r>
          </w:p>
          <w:p>
            <w:pPr>
              <w:spacing w:before="0" w:after="42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34"/>
                <w:szCs w:val="34"/>
              </w:rPr>
              <w:t xml:space="preserve">Scientific Program</w:t>
            </w:r>
          </w:p>
          <w:p>
            <w:pPr>
              <w:pBdr>
                <w:bottom w:val="single" w:color="9CC9EA" w:sz="6" w:space="3"/>
              </w:pBdr>
              <w:spacing w:before="0" w:after="420"/>
              <w:ind w:right="7386"/>
            </w:pPr>
            <w:r>
              <w:rPr>
                <w:rFonts w:ascii="Calibri" w:hAnsi="Calibri" w:eastAsia="Calibri" w:cs="Tahoma"/>
                <w:sz w:val="4"/>
                <w:szCs w:val="4"/>
              </w:rPr>
              <w:t xml:space="preserve"> 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30"/>
                <w:szCs w:val="30"/>
              </w:rPr>
              <w:t xml:space="preserve">4 – 6 November 2026</w:t>
            </w:r>
          </w:p>
        </w:tc>
      </w:tr>
    </w:tbl>
    <w:p>
      <w:pPr>
        <w:spacing w:before="0" w:after="0" w:line="260" w:lineRule="exact"/>
        <w:rPr>
          <w:sz w:val="2"/>
        </w:rPr>
      </w:pPr>
    </w:p>
    <w:tbl>
      <w:tblPr>
        <w:tblW w:w="9864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3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DAYS</w:t>
            </w:r>
          </w:p>
        </w:tc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24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SESSIONS</w:t>
            </w:r>
          </w:p>
        </w:tc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115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TALKS</w:t>
            </w:r>
          </w:p>
        </w:tc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2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HALLS</w:t>
            </w:r>
          </w:p>
        </w:tc>
      </w:tr>
    </w:tbl>
    <w:p>
      <w:pPr>
        <w:spacing w:before="0" w:after="0" w:line="700" w:lineRule="exact"/>
        <w:rPr>
          <w:sz w:val="2"/>
        </w:rPr>
      </w:pPr>
    </w:p>
    <w:tbl>
      <w:tblPr>
        <w:tblW w:w="9866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1800"/>
        <w:gridCol w:w="8066"/>
      </w:tblGrid>
      <w:tr>
        <w:trPr>
          <w:cantSplit/>
        </w:trPr>
        <w:tc>
          <w:tcPr>
            <w:tcW w:w="1800" w:type="dxa"/>
          </w:tcPr>
          <w:p>
            <w:pPr>
              <w:spacing w:before="0" w:after="0"/>
            </w:pPr>
            <w:r>
              <w:drawing>
                <wp:inline xmlns:wp="http://schemas.openxmlformats.org/drawingml/2006/wordprocessingDrawing" distT="0" distB="0" distL="0" distR="0">
                  <wp:extent cx="1092200" cy="1092200"/>
                  <wp:effectExtent l="0" t="0" r="0" b="0"/>
                  <wp:docPr id="1" name="QR code" descr="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 code"/>
                          <pic:cNvPicPr/>
                        </pic:nvPicPr>
                        <pic:blipFill>
                          <a:blip xmlns:r="http://schemas.openxmlformats.org/officeDocument/2006/relationships" r:embed="Rcdbd45fedb8549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6" w:type="dxa"/>
            <w:tcMar>
              <w:left w:w="180" w:type="dxa"/>
              <w:right w:w="18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26"/>
                <w:szCs w:val="26"/>
              </w:rPr>
              <w:t xml:space="preserve">Live program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5D6B78"/>
                <w:sz w:val="19"/>
                <w:szCs w:val="19"/>
              </w:rPr>
              <w:t xml:space="preserve">Scan to open the live, always up-to-date program</w:t>
            </w:r>
          </w:p>
          <w:p>
            <w:pPr>
              <w:spacing w:before="80" w:after="0"/>
            </w:pPr>
            <w:hyperlink xmlns:r="http://schemas.openxmlformats.org/officeDocument/2006/relationships" w:history="true" r:id="R71f606d612514919">
              <w:r>
                <w:rPr>
                  <w:rFonts w:ascii="Calibri" w:hAnsi="Calibri" w:eastAsia="Calibri" w:cs="Tahoma"/>
                  <w:color w:val="105484"/>
                  <w:sz w:val="17"/>
                  <w:szCs w:val="17"/>
                </w:rPr>
                <w:t xml:space="preserve">https://www.isoic.org/Congress/Glance?eventId=3</w:t>
              </w:r>
            </w:hyperlink>
          </w:p>
        </w:tc>
      </w:tr>
    </w:tbl>
    <w:p>
      <w:pPr>
        <w:spacing w:before="0" w:after="0" w:line="500" w:lineRule="exact"/>
        <w:rPr>
          <w:sz w:val="2"/>
        </w:rPr>
      </w:pPr>
    </w:p>
    <w:p>
      <w:pPr>
        <w:pBdr>
          <w:top w:val="single" w:color="DBE4EC" w:sz="6" w:space="6"/>
        </w:pBdr>
        <w:spacing w:before="0" w:after="0"/>
      </w:pPr>
      <w:r>
        <w:rPr>
          <w:rFonts w:ascii="Calibri" w:hAnsi="Calibri" w:eastAsia="Calibri" w:cs="Tahoma"/>
          <w:color w:val="5D6B78"/>
          <w:sz w:val="17"/>
          <w:szCs w:val="17"/>
        </w:rPr>
        <w:t xml:space="preserve">Prepared 3 November 2026</w:t>
      </w:r>
      <w:r>
        <w:rPr>
          <w:rFonts w:ascii="Calibri" w:hAnsi="Calibri" w:eastAsia="Calibri" w:cs="Tahoma"/>
          <w:color w:val="DBE4EC"/>
          <w:sz w:val="17"/>
          <w:szCs w:val="17"/>
        </w:rPr>
        <w:t xml:space="preserve">   ·   </w:t>
      </w:r>
      <w:r>
        <w:rPr>
          <w:rFonts w:ascii="Calibri" w:hAnsi="Calibri" w:eastAsia="Calibri" w:cs="Tahoma"/>
          <w:color w:val="5D6B78"/>
          <w:sz w:val="17"/>
          <w:szCs w:val="17"/>
        </w:rPr>
        <w:t xml:space="preserve">The program is subject to change.</w:t>
      </w:r>
    </w:p>
    <w:p>
      <w:pPr>
        <w:pageBreakBefore/>
        <w:spacing w:before="0" w:after="120"/>
      </w:pPr>
      <w:r>
        <w:rPr>
          <w:rFonts w:ascii="Calibri" w:hAnsi="Calibri" w:eastAsia="Calibri" w:cs="Tahoma"/>
          <w:b/>
          <w:bCs/>
          <w:color w:val="105484"/>
          <w:sz w:val="52"/>
          <w:szCs w:val="52"/>
        </w:rPr>
        <w:t xml:space="preserve">Contents</w:t>
      </w:r>
    </w:p>
    <w:p>
      <w:pPr>
        <w:pBdr>
          <w:bottom w:val="single" w:color="9CC9EA" w:sz="6" w:space="3"/>
        </w:pBdr>
        <w:spacing w:before="0" w:after="300"/>
        <w:ind w:right="9166"/>
      </w:pPr>
      <w:r>
        <w:rPr>
          <w:rFonts w:ascii="Calibri" w:hAnsi="Calibri" w:eastAsia="Calibri" w:cs="Tahoma"/>
          <w:sz w:val="4"/>
          <w:szCs w:val="4"/>
        </w:rPr>
        <w:t xml:space="preserve"> </w:t>
      </w:r>
    </w:p>
    <w:tbl>
      <w:tblPr>
        <w:tblW w:w="9866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1250"/>
        <w:gridCol w:w="8616"/>
      </w:tblGrid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</w:rPr>
              <w:t xml:space="preserve">Day 1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spacing w:before="0" w:after="0"/>
            </w:pPr>
            <w:hyperlink w:history="true" w:anchor="day_20261104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</w:rPr>
                <w:t xml:space="preserve">Wednesday, 4 November 2026</w:t>
              </w:r>
            </w:hyperlink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 sessions   ·   2 halls   ·   08:30 – 18:30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</w:rPr>
              <w:t xml:space="preserve">Day 2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spacing w:before="0" w:after="0"/>
            </w:pPr>
            <w:hyperlink w:history="true" w:anchor="day_20261105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</w:rPr>
                <w:t xml:space="preserve">Thursday, 5 November 2026</w:t>
              </w:r>
            </w:hyperlink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 sessions   ·   2 halls   ·   08:30 – 18:30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</w:rPr>
              <w:t xml:space="preserve">Day 3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spacing w:before="0" w:after="0"/>
            </w:pPr>
            <w:hyperlink w:history="true" w:anchor="day_20261106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</w:rPr>
                <w:t xml:space="preserve">Friday, 6 November 2026</w:t>
              </w:r>
            </w:hyperlink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4 sessions   ·   2 halls   ·   08:30 – 13:00</w:t>
            </w:r>
          </w:p>
        </w:tc>
      </w:tr>
    </w:tbl>
    <w:p>
      <w:pPr>
        <w:spacing w:before="0" w:after="0" w:line="20" w:lineRule="exact"/>
        <w:sectPr>
          <w:headerReference xmlns:r="http://schemas.openxmlformats.org/officeDocument/2006/relationships" w:type="default" r:id="R37ef9fc0220f4561"/>
          <w:headerReference xmlns:r="http://schemas.openxmlformats.org/officeDocument/2006/relationships" w:type="first" r:id="R55cc274b81d94f20"/>
          <w:footerReference xmlns:r="http://schemas.openxmlformats.org/officeDocument/2006/relationships" w:type="default" r:id="R8653b250576945ff"/>
          <w:footerReference xmlns:r="http://schemas.openxmlformats.org/officeDocument/2006/relationships" w:type="first" r:id="R9d7b80e243994297"/>
          <w:type w:val="nextPage"/>
          <w:pgSz w:w="11906" w:h="16838"/>
          <w:pgMar w:top="1100" w:right="1020" w:bottom="1000" w:left="1020" w:header="520" w:footer="440" w:gutter="0"/>
          <w:cols w:space="708"/>
          <w:titlePg/>
        </w:sectPr>
      </w:pPr>
    </w:p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18"/>
                <w:szCs w:val="18"/>
              </w:rPr>
              <w:t xml:space="preserve">DAY 1</w:t>
            </w:r>
          </w:p>
          <w:p>
            <w:pPr>
              <w:pStyle w:val="Heading1"/>
              <w:spacing w:before="20" w:after="20"/>
            </w:pPr>
            <w:bookmarkStart w:name="day_20261104" w:id="1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</w:rPr>
              <w:t xml:space="preserve">Wednesday, 4 November 2026</w:t>
            </w:r>
            <w:bookmarkEnd w:id="1"/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</w:rPr>
              <w:t xml:space="preserve">10 sessions   ·   2 halls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</w:rPr>
              <w:t xml:space="preserve">08:30 – 18:30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08:30–10:00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Chronic Superior Vena Cava Syndrome—From A To Z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Bahram Mohebbi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Mehrdad Aghdasi   ·   M Davoudi   ·   Mahmoud Eftekharzadeh   ·   Majid Haghjoo   ·   Seyedeh Sara Hosseini   ·   Amirnaser Jadbabaei   ·   Yaser Jenab   ·   Jamal Moosavi   ·   Mostafa Mousavizadeh   ·   Jalal Norouzi   ·   O Shafe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08:30–08:35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Etiology, Epidemiology, And Clinical Burden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 Pourahmad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08:35–08:40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Physical Examination: Localizing Obstruction And Assessing Vascular Access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Mostafa Mousavizadeh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08:40–08:50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Diagnostic Imaging: Choosing The Right Modality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Farrashi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 Pirouzi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08:50–08:55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Endovascular Access And Wire Selection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O Shafe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08:55–09:00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Stenting For Extrinsic Compression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Jamal Moosavi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09:00–09:05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PTA Vs Stenting In Chronic Non-malignant Compression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Parham Sadeghipour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09:05–09:10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Covered Versus Non-covered Stent In SVC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Bahram Mohebbi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09:10–09:15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Antithrombotic Therapy After Endovascular Intervention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Yaser Jenab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09:15–09:25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Surgical Options After Failed Endovascular Treatment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Amirnaser Jadbabaei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Mostafa Mousavizadeh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09:25–09:40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Panel Discussion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09:40–09:45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Short-Term Anticoagulation After Device Implantation: Is There A Role? Clinical Significance Of Device-Related Venous Obstruction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09:45–09:50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Balloon Angioplasty With Leads In Place: Is It Safe? Lead Extraction Or Contralateral Device Implantation?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Farzad Kamali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09:50–10:00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Panel Discussion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10:30–12:00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Calcified Lesions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Ali Zahed Mehr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J 0055893988   ·   Mohammad Javad Alemzadeh   ·   A Amirpour   ·   MR Baay   ·   Y Dadjoo   ·   A Ghofraniha   ·   Reza Rahmani   ·   H Vakili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Comparison Of Different Calcium Modification Techniques; Which Modality For Which Lesion?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Pedram Rahmani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10:45–11:00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When Calcium Modification Goes Beyond The Calcium: Insights From Two IVUS Guided IVL Cases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Morteza Safi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11:00–11:15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How To Manage Uncrossable/undilatable Coronary Lesions.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Farokhzad Layegh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11:15–11:30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How Calcium Modification Techniques Help Us To Prevent Unnecessary Stenting? Alipour Parsa S, MD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Saeed Alipour Parsa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11:30–12:00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1:Calcified Lesion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Advanced Hemostasis Techniques In Cardiovascular Interventions And Nursing Care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Mehdi Bakhshi   ·   M Gandomgon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12:30–13:30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Lunch Symposium:ontemporary Antithrombotic Therapy In Interventional Cardiology: Choosing The Right Strategy For The Right Patient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12:30–13:30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Maryam Mehrpooya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Seyed Ali Banifatemeh   ·   Armin Elahifar   ·   Ramin Eskandari   ·   Farah Naghashzadeh   ·   H Talakoub   ·   Mohamad Vojdan Parast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12:30–12:50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Selecting The Appropriate P2y12 Inhibitor According To Clinical Setting And Patient risk Profile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Mohamad Vojdan Parast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12:50–13:10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Antithrombotic Therapy After Structural Heart Interventions: Current Evidence And practical Approach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Talakoub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</w:rPr>
              <w:t xml:space="preserve">13:10–13:30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</w:rPr>
              <w:t xml:space="preserve">Q &amp; A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Caspian Complex ASD Session Mashhad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12:30–13:30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Ata Firouzi   ·   Mahmoud Shabestari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 Alizadeh   ·   A Eshraghi   ·   Yaser Jenab   ·   A Motaghi Moghadam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12:30–12:42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Sinus Venosus Type ASD Closure, A New Technique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Birjandi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12:42–12:54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Sinus Venosus Type ASD, What We Should Know From CTA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Heydari Bakavoli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12:54–13:06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Dificult ASDs Closure, The Assisted Techniques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B Alizadeh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13:06–13:18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Multiple ASD Device Closure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Mortezaeian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13:18–13:30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ASD Closure In Aneurysmal And Mal-align Septum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Mahmoud Shabestari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13:30–14:30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Beyond The Angiogram: Mastering Complex Decisions In Interventional Cardiology Mazandaran Province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13:30–14:30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Babak Bagheri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MH Adel   ·   S Golshani   ·   F Jalali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When To Intervenen, When To Stent, And When To Stand Back?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 Jalali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13:45–14:00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No Reflow In Primary PCI: Prevention, Bailout Strategies And What Actually Works, Case base Discussion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 Golshani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14:00–14:15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MINOCA Unmasked: Beyond The Angiogram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Babak Bagheri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14:15–14:30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High-Risk PCI In ACS: Cardiogenic Shock And Mechanical Circulatory Support, Case Base discussion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MH Adel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13:30–15:00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Acute Coronary Syndrome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13:30–15:00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Sezavar H   ·   Farshad Shakerian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Jamalian A   ·   Mohammad Alidoosti   ·   Mohammadreza Baay   ·   Doostkami H   ·   Hekmat HR   ·   Nikfarjam S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STEMI In Young Patients.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Shahin Azizi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13:40–13:50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Deferred Stenting In STEMI A Forgotten Strategy Or A Missed Opportunity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Hasan Aghajani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13:50–14:00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No Reflow In Cathlab What Works, What Doesn’t Work? And What We Still Don’t Know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Soleimani 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14:00–14:10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ACS Without Stent, Can Plaque Corrosion Change Our Practice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Eshraghi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14:10–14:20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Imaging Guided PCI: Is Angiography Alone No Longer Enough?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Hamidreza Varasteh Ravan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14:20–15:00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2:Acute Coronary Syndrome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Amineh Safavirad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15:30–16:30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Left Main Bifurcation PCI Qazvin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15:30–16:30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 Fotouhi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Left Main PCI In Contemporary Practice: Where Do We Stand Today?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15:50–16:10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Upfront Two-Stent Versus Provisional Strategy In Left Main Bifurcation PCI: How To Choose?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16:10–16:30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Imaging-Guided Left Main PCI: Is The Evidence Strong Enough For Routine Use?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15:30–17:00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115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CTO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15:30–17:00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Ahmadieh A   ·   A Ghofraniha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MR Afshani   ·   Sohrabi B   ·   Behramali E   ·   Pishgahi M   ·   Soleimannejad M   ·   Mehdi Toluey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15:30–15:38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Bifurcation Decision Making In CTO Setting. What To Consider?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Hashemi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15:38–15:46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Angiographic 3D Wiring In Antegrade CTO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K Klantari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15:46–15:54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Retrograde Approach And Externalization As A Tool In Non-cross Able CTOs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Taghavi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15:54–16:02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DCB In Complex PCI: From Lesion Preparation To A Stent-free Strategy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Sadri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16:02–16:10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CCTA In CTO PCI: Optimizing Lesion Assessment And Procedural Strategy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Raay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16:10–16:30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3:CTO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K Mashayekhi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4:CTO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Zeza Esmaeili Dehaj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Jalal Norouzi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17:00–18:30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116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Challenging Case Presentations In Cardiovascular Interventions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17:00–18:30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H Farshidi   ·   MJ Zibaeenejad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. Keshvari   ·   S Lali   ·   J Ramezani   ·   HA Sharifian   ·   K Yousefnejad   ·   Babak Zamani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17:00–17:15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ACS Related Cardiogenic Shock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Amiri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17:15–17:30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Primary PCI After CABG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Seyed Ali Banifatemeh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17:30–17:45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Beyond Postpartum Chest Pain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پیام ابراهیمی فر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17:45–18:00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Storm In The Cath Lab!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 Eftkhari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18:00–18:15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Midnight Cowboy: Fighting A Calcified Subocclusive Thrombotic Left Main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Farokhzad Layegh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18:15–18:30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 Thrombus- Laden RCA: What Would You Do?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Seyed Farshad Sadri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2bf8be405eb84edc"/>
          <w:footerReference xmlns:r="http://schemas.openxmlformats.org/officeDocument/2006/relationships" w:type="default" r:id="R8653b250576945ff"/>
          <w:type w:val="nextPage"/>
          <w:pgSz w:w="11906" w:h="16838"/>
          <w:pgMar w:top="1100" w:right="1020" w:bottom="1000" w:left="1020" w:header="520" w:footer="440" w:gutter="0"/>
          <w:cols w:space="708"/>
        </w:sectPr>
      </w:pPr>
    </w:p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18"/>
                <w:szCs w:val="18"/>
              </w:rPr>
              <w:t xml:space="preserve">DAY 2</w:t>
            </w:r>
          </w:p>
          <w:p>
            <w:pPr>
              <w:pStyle w:val="Heading1"/>
              <w:spacing w:before="20" w:after="20"/>
            </w:pPr>
            <w:bookmarkStart w:name="day_20261105" w:id="2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</w:rPr>
              <w:t xml:space="preserve">Thursday, 5 November 2026</w:t>
            </w:r>
            <w:bookmarkEnd w:id="2"/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</w:rPr>
              <w:t xml:space="preserve">10 sessions   ·   2 halls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</w:rPr>
              <w:t xml:space="preserve">08:30 – 18:30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08:30–10:00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Structure 1 Aortic Valve Intervention: What’s New And What’s Next?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Massoud Ghasemi   ·   Alimohammad Hajizeinali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Azin Alizadeh Asl   ·   S. Abouzar Fakhrmousavi   ·   Alireza Ghavidel   ·   Klantar Motamdi   ·   Nasim Naderi   ·   Mojtaba Salarifar   ·   Mahmoud Shabestari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08:30–08:42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Aortic Valve-in-Valve: From Planning To Procedural Success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Alimohammad Hajizeinali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08:42–08:54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TAVI In Bicuspid Anatomy: Challenges, Strategies And Solutions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Yaser Jenab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08:54–09:06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Lifetime Management Of Aortic Valve Disease: TAVI First Or SAVR First?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Javad Alemzadeh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09:06–09:30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5:TAVI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Seyfollah Abdi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Ata Firouzi</w:t>
            </w:r>
          </w:p>
          <w:p>
            <w:pPr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</w:rPr>
              <w:t xml:space="preserve">Moderators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Maryam Taherkhani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09:30–10:00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6:TAVI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Saeed Alipour Parsa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Hasan Namazi</w:t>
            </w:r>
          </w:p>
          <w:p>
            <w:pPr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</w:rPr>
              <w:t xml:space="preserve">Moderators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Maryam Taherkhani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Women In Intervention (WIN)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DCB For De Novo Coronary Lesion In 2026: Is The Evidence Strong Enough To Challenge DES? Lessons From Solution De Novo And Recent Trials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08:50–09:10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How To Make DCB Work: Lesion Preparation, Imaging And The Decision To Stop Without A stent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09:10–09:30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Less Metal, Smarter Bifurcation PCI: The Emerging Role Of Drug-coated Balloons And hybrid DES-DCB Strategies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09:30–09:50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DCB In Complex: How Far Can We Push A Stentless Strategy? From Long And Calcified lesions To CTO And High-risk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</w:rPr>
              <w:t xml:space="preserve">09:50–10:00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</w:rPr>
              <w:t xml:space="preserve">Q &amp; A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10:30–12:00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Structure 2 Mitral Valve Intervention: What’s New And What’s Next?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Seyfollah Abdi   ·   Ata Firouzi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 Amirpour   ·   Khalil Forouzannia   ·   Mohammad Hosein Mandegar   ·   Mohammad Hasan Namazi   ·   Iraj Nazeri   ·   M Sahebjam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10:30–10:42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Mitral TEER: Patient Selection, Strategies And Solutions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J Kojuri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10:42–10:54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Mitral Valve-in-Valve: From Patient Selection To Procedural Success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Firouzi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10:54–11:06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Mitral Valve-in-Ring: Challenges, Strategies And Solutions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Seyfollah Abdi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11:06–11:11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Result Of Valve In Valve Registry In RHI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 Salari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11:11–11:26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TEER A-Z (Q And A, 5 Min) - Live In Box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Taramasso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11:26–12:00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7:Mitral Valve In Valve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Alimohammad Hajizeinali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Yaser Jenab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H Aghajani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ACS &amp; Primary PCI Tabriz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OCT-Guided Identification Of The Culprit Lesion In Acute Coronary Syndromes (ACS)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10:50–11:10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Thrombus Migration And Refractory Ventricular Fibrillation During Primary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11:10–11:30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Spontaneous Coronary Artery Dissection (SCAD) In Acute Coronary Syndromes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11:30–11:50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Unintended Left Main Coronary Artery Deformation During Primary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</w:rPr>
              <w:t xml:space="preserve">11:50–12:00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</w:rPr>
              <w:t xml:space="preserve">Q &amp; A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12:30–13:30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Lunch Symposium:Connecting The Evidence: Integrating Dyslipidemia Management Into Cardiometabolic Health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12:30–13:30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Hashem Sezavar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Sasan Afifi   ·   B Babapour   ·   J Dastmalchi   ·   A Jahed   ·   M Rouzitalab   ·   Farshad Shakerian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13:30–15:00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Bifurcation PCI In 2026: Less Is More—or Is It?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13:30–15:00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Abdolah Amirfarhangi   ·   Babak Bagheri   ·   M Dehghan   ·   K Hoseini   ·   Fardin Mirbolouk   ·   HR Pourhoseini   ·   A Rakhshankhah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Bifurcation PCI In 2026: What IVUS And OCT Should Tell Us Before, During, And After Stenting, From Lesion Assessment To Final Optimization: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Maryam Mehrpooya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13:45–14:00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Provisional Or Upfront Two-Stent? Making The Right Decision In Complex Bifurcations:When To Stay Simple—and When To Escalate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Mehrani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14:00–14:15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When Provisional Is Not Enough: Choosing The Right Two-Stent Strategy For Complex Bifurcations: From Bailout To Planned DK-Crush, Culotte Or TAP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Rouzitalab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14:15–14:30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Durability Matters: What 10-Year Outcomes Teach Us About Preventing Late Failure After Bifurcation PCI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Fatemeh Sehati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14:30–15:00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8:Bifurcation Lesion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Aghajani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Mojtaba Salarifar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Alidoosti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How To Manage Mitral Regurgitation Shiraz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13:30–15:00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Guideline Review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13:40–13:55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Echo Preparation Of Patient For MR Intervention (surgical- Interventional)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13:55–14:05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TEER A To Z With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14:05–14:15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Surgical MV Repair A To Z. With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14:15–14:25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TEER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14:25–14:45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Valve In Valve And Valve In Ring For MR,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14:45–15:00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MV Repair Case Presentation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15:30–17:00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215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LM &amp; Multi Vessel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15:30–17:00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 Ghaffari   ·   Ehsan Khalilipour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AR Abdi   ·   Arman Hakimpour   ·   M Naghibzadeh   ·   Mohammad Taghipour   ·   Maryam Taherkhani   ·   MK Taraghi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Left Main PCI; One Or Two Stent Strategy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Amirhossein Mohammadalian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15:45–16:00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Imaging Guided PCI In LM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Javad Alemzadeh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16:00–16:15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Left Main Revascularisation; CABG Vs PCI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 Ghaffari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16:15–16:30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IVUS Guided Plaque Modification And Stent Optimisation In LM PCI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Mehdi Toluey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16:30–17:00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9:Left Main Lesion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Alidoosti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Isvand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Mojtaba Salarifar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TAVI Isfahan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15:30–17:00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Welcome Remarks &amp; Session Objective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15:45–16:00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From Diagnosis To Treatment Strategy: Choosing The Best Approach For Aortic Valve Disease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16:00–16:15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Pre-TAVI Assessment And Planning: From Echocardiography And CT To Valve Selection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16:15–16:30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Mastering TAVI: Procedural Strategy, Optimal Valve Deployment And Intraprocedural Challenges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16:30–16:45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Post-TAVI Assessment: Defining Procedural Success And Detecting Complications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16:45–17:00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Beyond TAVI: Post-Procedural Management, Long-Term Surveillance And Valve Durability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17:00–18:30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216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State Of The Art Lectures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17:00–18:30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 Aminian   ·   R Kiani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Sami Aldabouni   ·   MR Beyranvand   ·   . Mohseni Kiasari   ·   R Rashidinejad   ·   . Sadeghi Ghahroudi   ·   A Sanati   ·   Amirfarhang Zand Parsa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17:00–17:20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The Current Management Of Asymptomatic Severe Carotid Disease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Shishebor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17:20–17:50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Redo TAV-in-TAV. How To Plan And Execute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17:50–18:10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Mechanical Circulatory Support In The Cath Lab: Saving The Shock Patient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Amin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18:10–18:30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Diagnosis And Management Of Spontaneous Coronary Artery Dissection (SCAD)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 Jamshidi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c38da460da624732"/>
          <w:footerReference xmlns:r="http://schemas.openxmlformats.org/officeDocument/2006/relationships" w:type="default" r:id="R8653b250576945ff"/>
          <w:type w:val="nextPage"/>
          <w:pgSz w:w="11906" w:h="16838"/>
          <w:pgMar w:top="1100" w:right="1020" w:bottom="1000" w:left="1020" w:header="520" w:footer="440" w:gutter="0"/>
          <w:cols w:space="708"/>
        </w:sectPr>
      </w:pPr>
    </w:p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18"/>
                <w:szCs w:val="18"/>
              </w:rPr>
              <w:t xml:space="preserve">DAY 3</w:t>
            </w:r>
          </w:p>
          <w:p>
            <w:pPr>
              <w:pStyle w:val="Heading1"/>
              <w:spacing w:before="20" w:after="20"/>
            </w:pPr>
            <w:bookmarkStart w:name="day_20261106" w:id="3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</w:rPr>
              <w:t xml:space="preserve">Friday, 6 November 2026</w:t>
            </w:r>
            <w:bookmarkEnd w:id="3"/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</w:rPr>
              <w:t xml:space="preserve">4 sessions   ·   2 halls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</w:rPr>
              <w:t xml:space="preserve">08:30 – 13:00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08:30–10:00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311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Complications 1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Beyond The Procedure: A Life, A Loss, A Lesson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08:45–09:00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Multiple Multi Segment Coronary Perforations During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09:00–09:15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Multiple Complications During Complex Retrograde CTO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09:15–09:30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Distal Vessel Dissection In CTO PCI And Catheter Entrapment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09:30–09:45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Radial Approach Complication In Patient With Thrombotic ACS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09:45–10:00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When The Coronary Artery Rebels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10:30–12:00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312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Complications 2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Hypotension Due To TAVI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10:45–11:00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Iatrogenic Spiral Dissection At Primary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11:00–11:15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TAVI Complication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11:15–11:30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 Rare Complication Of Carotid Angioplasty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11:30–11:45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On The Edge: An Unexpected Crisis During SVG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11:45–12:00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Unintended Stent Deployment During RCA PCI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321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Use Of Left Ventricular Assist Devices (LVADs) During Advanced Cardiovascular Interventions And Related Nursing Care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12:00–13:00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313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Young Interventionist Award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12:00–13:00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12:00–12:10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12:10–12:20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12:20–12:30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12:30–12:40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12:40–12:50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12:50–13:00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Voting &amp; Ceremony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sectPr>
      <w:headerReference xmlns:r="http://schemas.openxmlformats.org/officeDocument/2006/relationships" w:type="default" r:id="R4ceb02839baa46a4"/>
      <w:footerReference xmlns:r="http://schemas.openxmlformats.org/officeDocument/2006/relationships" w:type="default" r:id="R8653b250576945ff"/>
      <w:type w:val="nextPage"/>
      <w:pgSz w:w="11906" w:h="16838"/>
      <w:pgMar w:top="1100" w:right="1020" w:bottom="1000" w:left="1020" w:header="520" w:footer="440" w:gutter="0"/>
      <w:cols w:space="708"/>
    </w:sectPr>
  </w:body>
</w:document>
</file>

<file path=word/footer1.xml><?xml version="1.0" encoding="utf-8"?>
<w:ftr xmlns:w="http://schemas.openxmlformats.org/wordprocessingml/2006/main">
  <w:tbl>
    <w:tblPr>
      <w:tblW w:w="9866" w:type="dxa"/>
      <w:tblBorders>
        <w:top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7466"/>
      <w:gridCol w:w="2400"/>
    </w:tblGrid>
    <w:tr>
      <w:trPr>
        <w:cantSplit/>
      </w:trPr>
      <w:tc>
        <w:tcPr>
          <w:tcW w:w="74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 xml:space="preserve">3rd Iranian Congress Of Interventional Cardiology</w:t>
          </w:r>
        </w:p>
      </w:tc>
      <w:tc>
        <w:tcPr>
          <w:tcW w:w="24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 xml:space="preserve">Page 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begin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instrText xml:space="preserve"> PAGE </w:instrTex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separate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>1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end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 xml:space="preserve"> of 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begin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instrText xml:space="preserve"> NUMPAGES </w:instrTex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separate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>1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end"/>
          </w:r>
        </w:p>
      </w:tc>
    </w:tr>
  </w:tbl>
  <w:p>
    <w:pPr>
      <w:spacing w:before="0" w:after="0" w:line="20" w:lineRule="exact"/>
    </w:pPr>
  </w:p>
</w:ftr>
</file>

<file path=word/footer2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header2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</w:p>
      </w:tc>
    </w:tr>
  </w:tbl>
  <w:p>
    <w:pPr>
      <w:spacing w:before="0" w:after="0" w:line="20" w:lineRule="exact"/>
    </w:pPr>
  </w:p>
</w:hdr>
</file>

<file path=word/header3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</w:rPr>
            <w:t xml:space="preserve">Wednesday, 4 November 2026</w:t>
          </w:r>
        </w:p>
      </w:tc>
    </w:tr>
  </w:tbl>
  <w:p>
    <w:pPr>
      <w:spacing w:before="0" w:after="0" w:line="20" w:lineRule="exact"/>
    </w:pPr>
  </w:p>
</w:hdr>
</file>

<file path=word/header4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</w:rPr>
            <w:t xml:space="preserve">Thursday, 5 November 2026</w:t>
          </w:r>
        </w:p>
      </w:tc>
    </w:tr>
  </w:tbl>
  <w:p>
    <w:pPr>
      <w:spacing w:before="0" w:after="0" w:line="20" w:lineRule="exact"/>
    </w:pPr>
  </w:p>
</w:hdr>
</file>

<file path=word/header5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</w:rPr>
            <w:t xml:space="preserve">Friday, 6 November 2026</w:t>
          </w:r>
        </w:p>
      </w:tc>
    </w:tr>
  </w:tbl>
  <w:p>
    <w:pPr>
      <w:spacing w:before="0" w:after="0" w:line="20" w:lineRule="exact"/>
    </w:pPr>
  </w:p>
</w:hd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Tahoma"/>
        <w:color w:val="212121"/>
        <w:sz w:val="19"/>
        <w:szCs w:val="19"/>
        <w:lang w:val="en-US" w:eastAsia="en-US" w:bidi="fa-IR"/>
      </w:rPr>
    </w:rPrDefault>
    <w:pPrDefault>
      <w:pPr>
        <w:spacing w:after="0" w:line="250" w:lineRule="auto"/>
      </w:pPr>
    </w:pPrDefault>
  </w:docDefault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 w:after="0"/>
      <w:outlineLvl w:val="0"/>
    </w:pPr>
    <w:rPr>
      <w:b/>
      <w:bCs/>
      <w:sz w:val="38"/>
      <w:szCs w:val="3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0" w:after="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0" w:after="0"/>
      <w:outlineLvl w:val="2"/>
    </w:pPr>
    <w:rPr>
      <w:b/>
      <w:bCs/>
      <w:sz w:val="23"/>
      <w:szCs w:val="23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3f2462f52a4e3c" /><Relationship Type="http://schemas.openxmlformats.org/officeDocument/2006/relationships/settings" Target="/word/settings.xml" Id="Ra5d24ce09f134015" /><Relationship Type="http://schemas.openxmlformats.org/officeDocument/2006/relationships/footer" Target="/word/footer1.xml" Id="R8653b250576945ff" /><Relationship Type="http://schemas.openxmlformats.org/officeDocument/2006/relationships/header" Target="/word/header1.xml" Id="R55cc274b81d94f20" /><Relationship Type="http://schemas.openxmlformats.org/officeDocument/2006/relationships/footer" Target="/word/footer2.xml" Id="R9d7b80e243994297" /><Relationship Type="http://schemas.openxmlformats.org/officeDocument/2006/relationships/hyperlink" Target="https://www.isoic.org/Congress/Glance?eventId=3" TargetMode="External" Id="R71f606d612514919" /><Relationship Type="http://schemas.openxmlformats.org/officeDocument/2006/relationships/image" Target="/media/image.png" Id="Rcdbd45fedb8549d8" /><Relationship Type="http://schemas.openxmlformats.org/officeDocument/2006/relationships/header" Target="/word/header2.xml" Id="R37ef9fc0220f4561" /><Relationship Type="http://schemas.openxmlformats.org/officeDocument/2006/relationships/header" Target="/word/header3.xml" Id="R2bf8be405eb84edc" /><Relationship Type="http://schemas.openxmlformats.org/officeDocument/2006/relationships/header" Target="/word/header4.xml" Id="Rc38da460da624732" /><Relationship Type="http://schemas.openxmlformats.org/officeDocument/2006/relationships/header" Target="/word/header5.xml" Id="R4ceb02839baa46a4" /></Relationships>
</file>